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71" w:rsidRPr="002A5AA9" w:rsidRDefault="00B32D71" w:rsidP="00B32D71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2A5AA9">
        <w:rPr>
          <w:b/>
          <w:bCs/>
          <w:sz w:val="36"/>
          <w:szCs w:val="36"/>
        </w:rPr>
        <w:t xml:space="preserve">Covid-19 </w:t>
      </w:r>
      <w:r w:rsidR="002A5AA9" w:rsidRPr="00300F2D">
        <w:rPr>
          <w:b/>
          <w:bCs/>
          <w:color w:val="FF0000"/>
          <w:sz w:val="36"/>
          <w:szCs w:val="36"/>
        </w:rPr>
        <w:t>Shielding List</w:t>
      </w:r>
      <w:r w:rsidR="002A5AA9" w:rsidRPr="002A5AA9">
        <w:rPr>
          <w:b/>
          <w:bCs/>
          <w:sz w:val="36"/>
          <w:szCs w:val="36"/>
        </w:rPr>
        <w:t>/</w:t>
      </w:r>
      <w:r w:rsidR="002A5AA9" w:rsidRPr="00300F2D">
        <w:rPr>
          <w:b/>
          <w:bCs/>
          <w:color w:val="7030A0"/>
          <w:sz w:val="36"/>
          <w:szCs w:val="36"/>
        </w:rPr>
        <w:t>Vulnerable Patients</w:t>
      </w:r>
      <w:r w:rsidRPr="00300F2D">
        <w:rPr>
          <w:b/>
          <w:bCs/>
          <w:color w:val="7030A0"/>
          <w:sz w:val="36"/>
          <w:szCs w:val="36"/>
        </w:rPr>
        <w:t xml:space="preserve"> </w:t>
      </w:r>
    </w:p>
    <w:p w:rsidR="00B32D71" w:rsidRPr="00FA269B" w:rsidRDefault="009D0F68" w:rsidP="00BB0B13">
      <w:pPr>
        <w:spacing w:after="0" w:line="240" w:lineRule="auto"/>
        <w:jc w:val="both"/>
        <w:rPr>
          <w:b/>
          <w:sz w:val="28"/>
          <w:szCs w:val="28"/>
        </w:rPr>
      </w:pPr>
      <w:r w:rsidRPr="00FA269B">
        <w:rPr>
          <w:b/>
          <w:sz w:val="28"/>
          <w:szCs w:val="28"/>
        </w:rPr>
        <w:t>Background</w:t>
      </w:r>
    </w:p>
    <w:p w:rsidR="00300F2D" w:rsidRDefault="009D0F68" w:rsidP="00BB0B13">
      <w:pPr>
        <w:spacing w:after="0" w:line="240" w:lineRule="auto"/>
        <w:jc w:val="both"/>
      </w:pPr>
      <w:r>
        <w:t xml:space="preserve">There have been a number of calls </w:t>
      </w:r>
      <w:r w:rsidR="00300F2D">
        <w:t xml:space="preserve">recently </w:t>
      </w:r>
      <w:r>
        <w:t xml:space="preserve">from patients who identify themselves as being </w:t>
      </w:r>
      <w:r w:rsidR="00A15F52">
        <w:t>vulnerable/</w:t>
      </w:r>
      <w:r>
        <w:t>in the highest clinical risk group</w:t>
      </w:r>
      <w:r w:rsidR="00A15F52">
        <w:t>/needing support</w:t>
      </w:r>
      <w:r>
        <w:t xml:space="preserve"> and requesting confirmation from the practice.  </w:t>
      </w:r>
      <w:r w:rsidR="00300F2D">
        <w:t>To help make things clearer, we have produced this document for our patients (adapted from one produced by Simpson House Medical Centre).</w:t>
      </w:r>
    </w:p>
    <w:p w:rsidR="00300F2D" w:rsidRDefault="00300F2D" w:rsidP="00BB0B13">
      <w:pPr>
        <w:spacing w:after="0" w:line="240" w:lineRule="auto"/>
        <w:jc w:val="both"/>
      </w:pPr>
    </w:p>
    <w:p w:rsidR="00A15F52" w:rsidRPr="00FA269B" w:rsidRDefault="00A15F52" w:rsidP="00BB0B13">
      <w:pPr>
        <w:spacing w:after="0" w:line="240" w:lineRule="auto"/>
        <w:jc w:val="both"/>
        <w:rPr>
          <w:b/>
          <w:sz w:val="28"/>
          <w:szCs w:val="28"/>
        </w:rPr>
      </w:pPr>
      <w:r w:rsidRPr="00FA269B">
        <w:rPr>
          <w:b/>
          <w:sz w:val="28"/>
          <w:szCs w:val="28"/>
        </w:rPr>
        <w:t>What is shielding</w:t>
      </w:r>
    </w:p>
    <w:p w:rsidR="00A15F52" w:rsidRDefault="00A15F52" w:rsidP="00BB0B13">
      <w:pPr>
        <w:spacing w:after="0" w:line="240" w:lineRule="auto"/>
        <w:jc w:val="both"/>
      </w:pPr>
      <w:r>
        <w:t>Shielding means staying at home at all times and avoiding all face to face contact for a</w:t>
      </w:r>
      <w:r w:rsidR="00FA269B">
        <w:t xml:space="preserve"> defined period, in this case</w:t>
      </w:r>
      <w:r>
        <w:t xml:space="preserve"> at least 12 weeks.</w:t>
      </w:r>
    </w:p>
    <w:p w:rsidR="00A15F52" w:rsidRDefault="00A15F52" w:rsidP="00BB0B13">
      <w:pPr>
        <w:spacing w:after="0" w:line="240" w:lineRule="auto"/>
        <w:jc w:val="both"/>
      </w:pPr>
    </w:p>
    <w:p w:rsidR="00A15F52" w:rsidRPr="00FA269B" w:rsidRDefault="00A15F52" w:rsidP="00BB0B13">
      <w:pPr>
        <w:spacing w:after="0" w:line="240" w:lineRule="auto"/>
        <w:jc w:val="both"/>
        <w:rPr>
          <w:b/>
          <w:sz w:val="28"/>
          <w:szCs w:val="28"/>
        </w:rPr>
      </w:pPr>
      <w:r w:rsidRPr="00FA269B">
        <w:rPr>
          <w:b/>
          <w:sz w:val="28"/>
          <w:szCs w:val="28"/>
        </w:rPr>
        <w:t xml:space="preserve">Who is being asked to </w:t>
      </w:r>
      <w:r w:rsidRPr="00300F2D">
        <w:rPr>
          <w:b/>
          <w:color w:val="FF0000"/>
          <w:sz w:val="28"/>
          <w:szCs w:val="28"/>
        </w:rPr>
        <w:t>shield</w:t>
      </w:r>
      <w:r w:rsidR="00300F2D">
        <w:rPr>
          <w:b/>
          <w:color w:val="FF0000"/>
          <w:sz w:val="28"/>
          <w:szCs w:val="28"/>
        </w:rPr>
        <w:t xml:space="preserve"> (see list in red)</w:t>
      </w:r>
      <w:r w:rsidRPr="00FA269B">
        <w:rPr>
          <w:b/>
          <w:sz w:val="28"/>
          <w:szCs w:val="28"/>
        </w:rPr>
        <w:t>?</w:t>
      </w:r>
    </w:p>
    <w:p w:rsidR="00DF7ABC" w:rsidRDefault="009D0F68" w:rsidP="00BB0B13">
      <w:pPr>
        <w:spacing w:after="0" w:line="240" w:lineRule="auto"/>
        <w:rPr>
          <w:bCs/>
        </w:rPr>
      </w:pPr>
      <w:r>
        <w:rPr>
          <w:bCs/>
        </w:rPr>
        <w:t>A g</w:t>
      </w:r>
      <w:r w:rsidR="00DF7ABC">
        <w:rPr>
          <w:bCs/>
        </w:rPr>
        <w:t>roup of patients recognised as ‘</w:t>
      </w:r>
      <w:r w:rsidR="00DF7ABC" w:rsidRPr="00300F2D">
        <w:rPr>
          <w:b/>
          <w:bCs/>
          <w:color w:val="FF0000"/>
        </w:rPr>
        <w:t>e</w:t>
      </w:r>
      <w:r w:rsidRPr="00300F2D">
        <w:rPr>
          <w:b/>
          <w:bCs/>
          <w:color w:val="FF0000"/>
        </w:rPr>
        <w:t xml:space="preserve">xtremely </w:t>
      </w:r>
      <w:r w:rsidR="00DF7ABC" w:rsidRPr="00300F2D">
        <w:rPr>
          <w:b/>
          <w:bCs/>
          <w:color w:val="FF0000"/>
        </w:rPr>
        <w:t>c</w:t>
      </w:r>
      <w:r w:rsidR="00A15F52" w:rsidRPr="00300F2D">
        <w:rPr>
          <w:b/>
          <w:bCs/>
          <w:color w:val="FF0000"/>
        </w:rPr>
        <w:t xml:space="preserve">linically </w:t>
      </w:r>
      <w:r w:rsidR="00DF7ABC" w:rsidRPr="00300F2D">
        <w:rPr>
          <w:b/>
          <w:bCs/>
          <w:color w:val="FF0000"/>
        </w:rPr>
        <w:t>v</w:t>
      </w:r>
      <w:r w:rsidRPr="00300F2D">
        <w:rPr>
          <w:b/>
          <w:bCs/>
          <w:color w:val="FF0000"/>
        </w:rPr>
        <w:t>ulnerable</w:t>
      </w:r>
      <w:r w:rsidR="00A15F52" w:rsidRPr="00300F2D">
        <w:rPr>
          <w:b/>
          <w:bCs/>
          <w:color w:val="FF0000"/>
        </w:rPr>
        <w:t xml:space="preserve"> to</w:t>
      </w:r>
      <w:r w:rsidRPr="00300F2D">
        <w:rPr>
          <w:b/>
          <w:bCs/>
          <w:color w:val="FF0000"/>
        </w:rPr>
        <w:t>’</w:t>
      </w:r>
      <w:r w:rsidRPr="00300F2D">
        <w:rPr>
          <w:bCs/>
          <w:color w:val="FF0000"/>
        </w:rPr>
        <w:t xml:space="preserve"> </w:t>
      </w:r>
      <w:r w:rsidR="00A15F52">
        <w:rPr>
          <w:bCs/>
        </w:rPr>
        <w:t>or ‘</w:t>
      </w:r>
      <w:r w:rsidR="00A15F52" w:rsidRPr="00300F2D">
        <w:rPr>
          <w:b/>
          <w:bCs/>
          <w:color w:val="FF0000"/>
        </w:rPr>
        <w:t>at highest clinical risk from</w:t>
      </w:r>
      <w:r w:rsidR="00A15F52">
        <w:rPr>
          <w:bCs/>
        </w:rPr>
        <w:t xml:space="preserve">’ COVID-19 </w:t>
      </w:r>
      <w:r>
        <w:rPr>
          <w:bCs/>
        </w:rPr>
        <w:t>have been asked to ‘</w:t>
      </w:r>
      <w:r w:rsidR="00DF7ABC">
        <w:rPr>
          <w:bCs/>
        </w:rPr>
        <w:t>Shield</w:t>
      </w:r>
      <w:r>
        <w:rPr>
          <w:bCs/>
        </w:rPr>
        <w:t xml:space="preserve">’ themselves for a period of 12 weeks.  </w:t>
      </w:r>
      <w:r w:rsidR="00DF7ABC">
        <w:rPr>
          <w:bCs/>
        </w:rPr>
        <w:t>This is because it is believed that if these patients were to get coronavirus they risk becoming very ill.</w:t>
      </w:r>
      <w:r w:rsidR="006F66C0">
        <w:rPr>
          <w:bCs/>
        </w:rPr>
        <w:t xml:space="preserve">  These patients have been put on a </w:t>
      </w:r>
      <w:r w:rsidR="006F66C0" w:rsidRPr="00300F2D">
        <w:rPr>
          <w:b/>
          <w:bCs/>
          <w:color w:val="FF0000"/>
        </w:rPr>
        <w:t>National Shielding Register</w:t>
      </w:r>
      <w:r w:rsidR="006F66C0">
        <w:rPr>
          <w:bCs/>
        </w:rPr>
        <w:t>.</w:t>
      </w:r>
    </w:p>
    <w:p w:rsidR="000E38A4" w:rsidRDefault="000E38A4" w:rsidP="00BB0B13">
      <w:pPr>
        <w:spacing w:after="0" w:line="240" w:lineRule="auto"/>
        <w:rPr>
          <w:bCs/>
        </w:rPr>
      </w:pPr>
    </w:p>
    <w:p w:rsidR="009E2151" w:rsidRDefault="00CB76C2" w:rsidP="00BB0B13">
      <w:pPr>
        <w:spacing w:after="0" w:line="240" w:lineRule="auto"/>
        <w:rPr>
          <w:bCs/>
        </w:rPr>
      </w:pPr>
      <w:r w:rsidRPr="006F66C0">
        <w:rPr>
          <w:b/>
          <w:bCs/>
        </w:rPr>
        <w:t>Most</w:t>
      </w:r>
      <w:r>
        <w:rPr>
          <w:bCs/>
        </w:rPr>
        <w:t xml:space="preserve"> patients that fall in to this category will have already been sent a letter through the post adv</w:t>
      </w:r>
      <w:r w:rsidR="00DF7ABC">
        <w:rPr>
          <w:bCs/>
        </w:rPr>
        <w:t>ising them that they should be shielding</w:t>
      </w:r>
      <w:r w:rsidR="006F66C0">
        <w:rPr>
          <w:bCs/>
        </w:rPr>
        <w:t>.</w:t>
      </w:r>
      <w:r w:rsidR="00300F2D">
        <w:rPr>
          <w:bCs/>
        </w:rPr>
        <w:t xml:space="preserve"> This places them on a Shielding </w:t>
      </w:r>
      <w:proofErr w:type="gramStart"/>
      <w:r w:rsidR="00300F2D">
        <w:rPr>
          <w:bCs/>
        </w:rPr>
        <w:t>Register</w:t>
      </w:r>
      <w:r w:rsidR="006F66C0">
        <w:rPr>
          <w:bCs/>
        </w:rPr>
        <w:t xml:space="preserve">  If</w:t>
      </w:r>
      <w:proofErr w:type="gramEnd"/>
      <w:r w:rsidR="006F66C0">
        <w:rPr>
          <w:bCs/>
        </w:rPr>
        <w:t xml:space="preserve"> they are on the Shielding Register they can also use the National Shielding Helpline to discuss their needs.</w:t>
      </w:r>
    </w:p>
    <w:p w:rsidR="009E2151" w:rsidRDefault="009E2151" w:rsidP="00BB0B13">
      <w:pPr>
        <w:spacing w:after="0" w:line="240" w:lineRule="auto"/>
        <w:rPr>
          <w:bCs/>
        </w:rPr>
      </w:pPr>
    </w:p>
    <w:p w:rsidR="00A15F52" w:rsidRDefault="00DF7ABC" w:rsidP="00BB0B13">
      <w:pPr>
        <w:spacing w:after="0" w:line="240" w:lineRule="auto"/>
        <w:rPr>
          <w:bCs/>
          <w:color w:val="FF0000"/>
        </w:rPr>
      </w:pPr>
      <w:r>
        <w:rPr>
          <w:bCs/>
        </w:rPr>
        <w:t xml:space="preserve">The </w:t>
      </w:r>
      <w:r w:rsidR="009E2151">
        <w:rPr>
          <w:bCs/>
        </w:rPr>
        <w:t xml:space="preserve">process for identifying </w:t>
      </w:r>
      <w:r>
        <w:rPr>
          <w:bCs/>
        </w:rPr>
        <w:t xml:space="preserve">these </w:t>
      </w:r>
      <w:r w:rsidR="00300F2D">
        <w:rPr>
          <w:bCs/>
        </w:rPr>
        <w:t xml:space="preserve">patients has been formally undertaken during early April 2020. We will continue to monitor in case patients fall into these categories. </w:t>
      </w:r>
      <w:r w:rsidR="00770228">
        <w:rPr>
          <w:bCs/>
        </w:rPr>
        <w:t>If you have not already received the letter and fall into one of the criteria as set out below then please call us and inform reception</w:t>
      </w:r>
      <w:r w:rsidR="00300F2D">
        <w:rPr>
          <w:bCs/>
        </w:rPr>
        <w:t xml:space="preserve"> or email </w:t>
      </w:r>
      <w:hyperlink r:id="rId8" w:history="1">
        <w:r w:rsidR="00300F2D" w:rsidRPr="00422D2C">
          <w:rPr>
            <w:rStyle w:val="Hyperlink"/>
            <w:bCs/>
          </w:rPr>
          <w:t>ridgeway.info@nhs.net</w:t>
        </w:r>
      </w:hyperlink>
      <w:r w:rsidR="00300F2D">
        <w:rPr>
          <w:bCs/>
        </w:rPr>
        <w:t xml:space="preserve"> </w:t>
      </w:r>
      <w:r w:rsidR="00770228">
        <w:rPr>
          <w:bCs/>
        </w:rPr>
        <w:t xml:space="preserve"> </w:t>
      </w:r>
      <w:proofErr w:type="gramStart"/>
      <w:r w:rsidR="00770228">
        <w:rPr>
          <w:bCs/>
        </w:rPr>
        <w:t>They</w:t>
      </w:r>
      <w:proofErr w:type="gramEnd"/>
      <w:r w:rsidR="00770228">
        <w:rPr>
          <w:bCs/>
        </w:rPr>
        <w:t xml:space="preserve"> will then add you on the list for the GP to look through. The GP will then call you or send you a text with the decision. </w:t>
      </w:r>
    </w:p>
    <w:p w:rsidR="00770228" w:rsidRDefault="00770228" w:rsidP="00BB0B13">
      <w:pPr>
        <w:spacing w:after="0" w:line="240" w:lineRule="auto"/>
        <w:rPr>
          <w:bCs/>
        </w:rPr>
      </w:pPr>
    </w:p>
    <w:p w:rsidR="00A15F52" w:rsidRDefault="00770228" w:rsidP="00BB0B13">
      <w:pPr>
        <w:spacing w:after="0" w:line="240" w:lineRule="auto"/>
        <w:rPr>
          <w:bCs/>
        </w:rPr>
      </w:pPr>
      <w:r>
        <w:rPr>
          <w:bCs/>
        </w:rPr>
        <w:t>T</w:t>
      </w:r>
      <w:r w:rsidR="00A15F52">
        <w:rPr>
          <w:bCs/>
        </w:rPr>
        <w:t xml:space="preserve">his group of patients is </w:t>
      </w:r>
      <w:r w:rsidR="00A15F52" w:rsidRPr="00300F2D">
        <w:rPr>
          <w:b/>
          <w:bCs/>
          <w:color w:val="FF0000"/>
        </w:rPr>
        <w:t>extremely clinically vulnerable</w:t>
      </w:r>
      <w:r w:rsidR="00A15F52" w:rsidRPr="00300F2D">
        <w:rPr>
          <w:bCs/>
          <w:color w:val="FF0000"/>
        </w:rPr>
        <w:t xml:space="preserve"> </w:t>
      </w:r>
      <w:r w:rsidR="00A15F52">
        <w:rPr>
          <w:bCs/>
        </w:rPr>
        <w:t xml:space="preserve">or at </w:t>
      </w:r>
      <w:r w:rsidR="00A15F52" w:rsidRPr="00300F2D">
        <w:rPr>
          <w:b/>
          <w:bCs/>
          <w:color w:val="FF0000"/>
        </w:rPr>
        <w:t>highest clinical risk</w:t>
      </w:r>
      <w:r w:rsidR="00A15F52" w:rsidRPr="00300F2D">
        <w:rPr>
          <w:bCs/>
          <w:color w:val="FF0000"/>
        </w:rPr>
        <w:t xml:space="preserve"> </w:t>
      </w:r>
      <w:r w:rsidR="00A15F52">
        <w:rPr>
          <w:bCs/>
        </w:rPr>
        <w:t>from COV</w:t>
      </w:r>
      <w:r w:rsidR="006F66C0">
        <w:rPr>
          <w:bCs/>
        </w:rPr>
        <w:t xml:space="preserve">ID-19.  There is a set clinical </w:t>
      </w:r>
      <w:r w:rsidR="002A5AA9">
        <w:rPr>
          <w:bCs/>
        </w:rPr>
        <w:t>criterion</w:t>
      </w:r>
      <w:r w:rsidR="00A15F52">
        <w:rPr>
          <w:bCs/>
        </w:rPr>
        <w:t xml:space="preserve"> for identifying</w:t>
      </w:r>
      <w:r w:rsidR="006F66C0">
        <w:rPr>
          <w:bCs/>
        </w:rPr>
        <w:t xml:space="preserve"> these patients.</w:t>
      </w:r>
    </w:p>
    <w:p w:rsidR="009E2151" w:rsidRDefault="009E2151" w:rsidP="00BB0B13">
      <w:pPr>
        <w:spacing w:after="0" w:line="240" w:lineRule="auto"/>
        <w:rPr>
          <w:bCs/>
        </w:rPr>
      </w:pPr>
    </w:p>
    <w:p w:rsidR="009E2151" w:rsidRPr="00FA269B" w:rsidRDefault="00DF7ABC" w:rsidP="00BB0B13">
      <w:pPr>
        <w:spacing w:after="0" w:line="240" w:lineRule="auto"/>
        <w:rPr>
          <w:b/>
          <w:bCs/>
          <w:sz w:val="28"/>
          <w:szCs w:val="28"/>
        </w:rPr>
      </w:pPr>
      <w:r w:rsidRPr="00FA269B">
        <w:rPr>
          <w:b/>
          <w:bCs/>
          <w:sz w:val="28"/>
          <w:szCs w:val="28"/>
        </w:rPr>
        <w:t xml:space="preserve">What about </w:t>
      </w:r>
      <w:r w:rsidR="000000CF" w:rsidRPr="00300F2D">
        <w:rPr>
          <w:b/>
          <w:bCs/>
          <w:color w:val="7030A0"/>
          <w:sz w:val="28"/>
          <w:szCs w:val="28"/>
        </w:rPr>
        <w:t>‘</w:t>
      </w:r>
      <w:r w:rsidRPr="00300F2D">
        <w:rPr>
          <w:b/>
          <w:bCs/>
          <w:color w:val="7030A0"/>
          <w:sz w:val="28"/>
          <w:szCs w:val="28"/>
        </w:rPr>
        <w:t>vulnerable</w:t>
      </w:r>
      <w:r w:rsidR="000000CF" w:rsidRPr="00300F2D">
        <w:rPr>
          <w:b/>
          <w:bCs/>
          <w:color w:val="7030A0"/>
          <w:sz w:val="28"/>
          <w:szCs w:val="28"/>
        </w:rPr>
        <w:t>’</w:t>
      </w:r>
      <w:r w:rsidRPr="00300F2D">
        <w:rPr>
          <w:b/>
          <w:bCs/>
          <w:color w:val="7030A0"/>
          <w:sz w:val="28"/>
          <w:szCs w:val="28"/>
        </w:rPr>
        <w:t xml:space="preserve"> </w:t>
      </w:r>
      <w:r w:rsidRPr="00FA269B">
        <w:rPr>
          <w:b/>
          <w:bCs/>
          <w:sz w:val="28"/>
          <w:szCs w:val="28"/>
        </w:rPr>
        <w:t>patients not on this list</w:t>
      </w:r>
      <w:r w:rsidR="00300F2D">
        <w:rPr>
          <w:b/>
          <w:bCs/>
          <w:sz w:val="28"/>
          <w:szCs w:val="28"/>
        </w:rPr>
        <w:t xml:space="preserve"> </w:t>
      </w:r>
      <w:r w:rsidR="00300F2D">
        <w:rPr>
          <w:b/>
          <w:bCs/>
          <w:color w:val="7030A0"/>
          <w:sz w:val="28"/>
          <w:szCs w:val="28"/>
        </w:rPr>
        <w:t>(see list in purple)</w:t>
      </w:r>
      <w:r w:rsidRPr="00FA269B">
        <w:rPr>
          <w:b/>
          <w:bCs/>
          <w:sz w:val="28"/>
          <w:szCs w:val="28"/>
        </w:rPr>
        <w:t>?</w:t>
      </w:r>
    </w:p>
    <w:p w:rsidR="000000CF" w:rsidRDefault="00DF7ABC" w:rsidP="00BB0B13">
      <w:pPr>
        <w:spacing w:after="0" w:line="240" w:lineRule="auto"/>
      </w:pPr>
      <w:r>
        <w:t>There is a broader list of conditions</w:t>
      </w:r>
      <w:r w:rsidR="000000CF">
        <w:t xml:space="preserve"> </w:t>
      </w:r>
      <w:r w:rsidR="006F66C0">
        <w:t xml:space="preserve">and </w:t>
      </w:r>
      <w:r w:rsidR="000000CF">
        <w:t xml:space="preserve">people who are considered to be in a wider vulnerable group but are </w:t>
      </w:r>
      <w:r w:rsidR="000000CF" w:rsidRPr="006F66C0">
        <w:rPr>
          <w:b/>
        </w:rPr>
        <w:t>NOT</w:t>
      </w:r>
      <w:r w:rsidR="000000CF">
        <w:t xml:space="preserve"> in the highest clinical risk category</w:t>
      </w:r>
      <w:r w:rsidR="00047075">
        <w:t xml:space="preserve"> and should not be added to the Shielding Register</w:t>
      </w:r>
      <w:r w:rsidR="000000CF">
        <w:t xml:space="preserve">.  This includes people aged 70 and over, those who are pregnant, those with long term respiratory </w:t>
      </w:r>
      <w:r w:rsidR="00047075">
        <w:t>diseases</w:t>
      </w:r>
      <w:r w:rsidR="000000CF">
        <w:t xml:space="preserve">, diabetics etc.  This is also sometimes referred to as the ‘flu group’ as </w:t>
      </w:r>
      <w:r w:rsidR="00047075">
        <w:t xml:space="preserve">the majority </w:t>
      </w:r>
      <w:r w:rsidR="000000CF">
        <w:t>are the patients that would</w:t>
      </w:r>
      <w:r w:rsidR="00047075">
        <w:t xml:space="preserve"> usually</w:t>
      </w:r>
      <w:r w:rsidR="000000CF">
        <w:t xml:space="preserve"> be invited to have an annual flu jab.</w:t>
      </w:r>
    </w:p>
    <w:p w:rsidR="000000CF" w:rsidRDefault="000000CF" w:rsidP="00BB0B13">
      <w:pPr>
        <w:spacing w:after="0" w:line="240" w:lineRule="auto"/>
      </w:pPr>
    </w:p>
    <w:p w:rsidR="000000CF" w:rsidRDefault="000000CF" w:rsidP="00BB0B13">
      <w:pPr>
        <w:spacing w:after="0" w:line="240" w:lineRule="auto"/>
      </w:pPr>
      <w:r>
        <w:t xml:space="preserve">The Government </w:t>
      </w:r>
      <w:r w:rsidRPr="00047075">
        <w:rPr>
          <w:b/>
        </w:rPr>
        <w:t>ARE NOT</w:t>
      </w:r>
      <w:r>
        <w:t xml:space="preserve"> asking this group of patients to shield, they are instead recommending that they follow strict social distancing measures.</w:t>
      </w:r>
      <w:r w:rsidR="00FA269B">
        <w:t xml:space="preserve">  Social distancing is classified </w:t>
      </w:r>
      <w:r w:rsidR="006477BF">
        <w:t xml:space="preserve">as </w:t>
      </w:r>
      <w:r w:rsidR="00FA269B">
        <w:t xml:space="preserve">reducing day to day contact with other people in order to reduce the spread of infection.  It requires people to stay home except for very limited purposes.  </w:t>
      </w:r>
    </w:p>
    <w:p w:rsidR="00FA269B" w:rsidRDefault="00FA269B" w:rsidP="00BB0B13">
      <w:pPr>
        <w:spacing w:after="0" w:line="240" w:lineRule="auto"/>
      </w:pPr>
    </w:p>
    <w:p w:rsidR="000000CF" w:rsidRDefault="000000CF" w:rsidP="00BB0B13">
      <w:pPr>
        <w:spacing w:after="0" w:line="240" w:lineRule="auto"/>
        <w:rPr>
          <w:b/>
          <w:sz w:val="28"/>
          <w:szCs w:val="28"/>
        </w:rPr>
      </w:pPr>
      <w:r w:rsidRPr="00FA269B">
        <w:rPr>
          <w:b/>
          <w:sz w:val="28"/>
          <w:szCs w:val="28"/>
        </w:rPr>
        <w:lastRenderedPageBreak/>
        <w:t xml:space="preserve">What support is there for </w:t>
      </w:r>
      <w:r w:rsidR="001074A8" w:rsidRPr="00FA269B">
        <w:rPr>
          <w:b/>
          <w:sz w:val="28"/>
          <w:szCs w:val="28"/>
        </w:rPr>
        <w:t>this group of patients that are</w:t>
      </w:r>
      <w:r w:rsidR="001074A8" w:rsidRPr="00300F2D">
        <w:rPr>
          <w:b/>
          <w:color w:val="7030A0"/>
          <w:sz w:val="28"/>
          <w:szCs w:val="28"/>
        </w:rPr>
        <w:t xml:space="preserve"> vulnerable </w:t>
      </w:r>
      <w:r w:rsidR="001074A8" w:rsidRPr="00FA269B">
        <w:rPr>
          <w:b/>
          <w:sz w:val="28"/>
          <w:szCs w:val="28"/>
        </w:rPr>
        <w:t xml:space="preserve">but not </w:t>
      </w:r>
      <w:r w:rsidR="001074A8" w:rsidRPr="00300F2D">
        <w:rPr>
          <w:b/>
          <w:color w:val="FF0000"/>
          <w:sz w:val="28"/>
          <w:szCs w:val="28"/>
        </w:rPr>
        <w:t>shielding</w:t>
      </w:r>
      <w:r w:rsidR="001074A8" w:rsidRPr="00FA269B">
        <w:rPr>
          <w:b/>
          <w:sz w:val="28"/>
          <w:szCs w:val="28"/>
        </w:rPr>
        <w:t>?</w:t>
      </w:r>
    </w:p>
    <w:p w:rsidR="006F66C0" w:rsidRDefault="006F66C0" w:rsidP="00BB0B13">
      <w:pPr>
        <w:spacing w:after="0" w:line="240" w:lineRule="auto"/>
      </w:pPr>
      <w:r>
        <w:t xml:space="preserve">Patients in the above group who do not meet the criteria for the ‘Shielding Register’ may be able to received help from the NHS Volunteer Responders and a referral can be made by visiting </w:t>
      </w:r>
      <w:hyperlink r:id="rId9" w:history="1">
        <w:r w:rsidRPr="00FA04F0">
          <w:rPr>
            <w:rStyle w:val="Hyperlink"/>
          </w:rPr>
          <w:t>https://www.goodsamapp.org/NHSreferral</w:t>
        </w:r>
      </w:hyperlink>
    </w:p>
    <w:p w:rsidR="006F66C0" w:rsidRDefault="006F66C0" w:rsidP="00BB0B13">
      <w:pPr>
        <w:spacing w:after="0" w:line="240" w:lineRule="auto"/>
      </w:pPr>
      <w:r>
        <w:t xml:space="preserve">  </w:t>
      </w:r>
    </w:p>
    <w:p w:rsidR="001074A8" w:rsidRPr="00FA269B" w:rsidRDefault="001074A8" w:rsidP="00BB0B13">
      <w:pPr>
        <w:spacing w:after="0" w:line="240" w:lineRule="auto"/>
        <w:rPr>
          <w:b/>
          <w:sz w:val="28"/>
          <w:szCs w:val="28"/>
        </w:rPr>
      </w:pPr>
      <w:r w:rsidRPr="00FA269B">
        <w:rPr>
          <w:b/>
          <w:sz w:val="28"/>
          <w:szCs w:val="28"/>
        </w:rPr>
        <w:t>What are the next steps?</w:t>
      </w:r>
    </w:p>
    <w:p w:rsidR="00300F2D" w:rsidRDefault="00300F2D" w:rsidP="00BB0B13">
      <w:pPr>
        <w:spacing w:after="0" w:line="240" w:lineRule="auto"/>
      </w:pPr>
      <w:r>
        <w:t>We are aiming that by April 20</w:t>
      </w:r>
      <w:r w:rsidRPr="00300F2D">
        <w:rPr>
          <w:vertAlign w:val="superscript"/>
        </w:rPr>
        <w:t>th</w:t>
      </w:r>
      <w:r>
        <w:t xml:space="preserve"> all patients in the </w:t>
      </w:r>
      <w:r w:rsidRPr="00300F2D">
        <w:rPr>
          <w:b/>
          <w:color w:val="FF0000"/>
        </w:rPr>
        <w:t>shielding group</w:t>
      </w:r>
      <w:r w:rsidRPr="00300F2D">
        <w:rPr>
          <w:color w:val="FF0000"/>
        </w:rPr>
        <w:t xml:space="preserve"> </w:t>
      </w:r>
      <w:r>
        <w:t xml:space="preserve">will have either received a letter from the government and / or a message from us. </w:t>
      </w:r>
    </w:p>
    <w:p w:rsidR="00300F2D" w:rsidRDefault="00300F2D" w:rsidP="00BB0B13">
      <w:pPr>
        <w:spacing w:after="0" w:line="240" w:lineRule="auto"/>
      </w:pPr>
    </w:p>
    <w:p w:rsidR="00300F2D" w:rsidRDefault="00300F2D" w:rsidP="00BB0B13">
      <w:pPr>
        <w:spacing w:after="0" w:line="240" w:lineRule="auto"/>
      </w:pPr>
      <w:r>
        <w:t>We will continue to monitor to add any patients opportunistically where there clinical situation puts them into this group.</w:t>
      </w:r>
    </w:p>
    <w:p w:rsidR="00300F2D" w:rsidRDefault="00300F2D" w:rsidP="00BB0B13">
      <w:pPr>
        <w:spacing w:after="0" w:line="240" w:lineRule="auto"/>
      </w:pPr>
    </w:p>
    <w:p w:rsidR="00770228" w:rsidRDefault="00770228" w:rsidP="00BB0B13">
      <w:pPr>
        <w:spacing w:after="0" w:line="240" w:lineRule="auto"/>
        <w:rPr>
          <w:bCs/>
        </w:rPr>
      </w:pPr>
      <w:r>
        <w:rPr>
          <w:bCs/>
        </w:rPr>
        <w:t xml:space="preserve">If however, you feel as though you meet the criteria </w:t>
      </w:r>
      <w:r w:rsidR="00300F2D">
        <w:rPr>
          <w:bCs/>
        </w:rPr>
        <w:t xml:space="preserve">and have not heard from us </w:t>
      </w:r>
      <w:r>
        <w:rPr>
          <w:bCs/>
        </w:rPr>
        <w:t>please contact us and inform reception</w:t>
      </w:r>
      <w:r w:rsidR="00300F2D">
        <w:rPr>
          <w:bCs/>
        </w:rPr>
        <w:t xml:space="preserve"> either via phone or by emailing </w:t>
      </w:r>
      <w:hyperlink r:id="rId10" w:history="1">
        <w:r w:rsidR="00300F2D" w:rsidRPr="00422D2C">
          <w:rPr>
            <w:rStyle w:val="Hyperlink"/>
            <w:bCs/>
          </w:rPr>
          <w:t>ridgeway.info@nhs.net</w:t>
        </w:r>
      </w:hyperlink>
      <w:r w:rsidR="00300F2D">
        <w:rPr>
          <w:bCs/>
        </w:rPr>
        <w:t xml:space="preserve"> </w:t>
      </w:r>
      <w:r>
        <w:rPr>
          <w:bCs/>
        </w:rPr>
        <w:t xml:space="preserve"> </w:t>
      </w:r>
      <w:proofErr w:type="gramStart"/>
      <w:r>
        <w:rPr>
          <w:bCs/>
        </w:rPr>
        <w:t>They</w:t>
      </w:r>
      <w:proofErr w:type="gramEnd"/>
      <w:r>
        <w:rPr>
          <w:bCs/>
        </w:rPr>
        <w:t xml:space="preserve"> will then add you on the list for the GP to look through. The GP will then call you or send you a text with the decision.</w:t>
      </w:r>
    </w:p>
    <w:p w:rsidR="003626ED" w:rsidRDefault="003626ED" w:rsidP="00BB0B13">
      <w:pPr>
        <w:spacing w:after="0" w:line="240" w:lineRule="auto"/>
        <w:rPr>
          <w:bCs/>
        </w:rPr>
      </w:pPr>
    </w:p>
    <w:p w:rsidR="002A5AA9" w:rsidRPr="002A5AA9" w:rsidRDefault="002A5AA9" w:rsidP="002A5AA9">
      <w:pPr>
        <w:spacing w:after="200" w:line="276" w:lineRule="auto"/>
        <w:rPr>
          <w:bCs/>
        </w:rPr>
      </w:pPr>
      <w:r w:rsidRPr="002A5AA9">
        <w:rPr>
          <w:bCs/>
        </w:rPr>
        <w:t>For information I have attached lists of the clinical conditions that fall in to both categories.  If anyone has any questions please feel free to discuss with me.</w:t>
      </w:r>
    </w:p>
    <w:p w:rsidR="002A5AA9" w:rsidRDefault="002A5AA9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D0F68" w:rsidRPr="00300F2D" w:rsidRDefault="002A5AA9" w:rsidP="002A5AA9">
      <w:pPr>
        <w:spacing w:after="200" w:line="276" w:lineRule="auto"/>
        <w:rPr>
          <w:bCs/>
          <w:color w:val="FF0000"/>
        </w:rPr>
      </w:pPr>
      <w:r w:rsidRPr="00300F2D">
        <w:rPr>
          <w:b/>
          <w:bCs/>
          <w:color w:val="FF0000"/>
          <w:sz w:val="28"/>
          <w:szCs w:val="28"/>
        </w:rPr>
        <w:lastRenderedPageBreak/>
        <w:t>Who falls in to the highest clinical risk group and would be appropriate for the Shielding Register?</w:t>
      </w:r>
    </w:p>
    <w:p w:rsidR="009D0F68" w:rsidRPr="00300F2D" w:rsidRDefault="009D0F68" w:rsidP="009D0F6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eastAsia="Times New Roman" w:cs="Arial"/>
          <w:color w:val="FF0000"/>
          <w:lang w:eastAsia="en-GB"/>
        </w:rPr>
      </w:pPr>
      <w:r w:rsidRPr="00300F2D">
        <w:rPr>
          <w:rFonts w:eastAsia="Times New Roman" w:cs="Arial"/>
          <w:color w:val="FF0000"/>
          <w:lang w:eastAsia="en-GB"/>
        </w:rPr>
        <w:t>Solid organ transplant recipients.</w:t>
      </w:r>
    </w:p>
    <w:p w:rsidR="009D0F68" w:rsidRPr="00300F2D" w:rsidRDefault="009D0F68" w:rsidP="009D0F68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eastAsia="Times New Roman" w:cs="Arial"/>
          <w:color w:val="FF0000"/>
          <w:lang w:eastAsia="en-GB"/>
        </w:rPr>
      </w:pPr>
      <w:r w:rsidRPr="00300F2D">
        <w:rPr>
          <w:rFonts w:eastAsia="Times New Roman" w:cs="Arial"/>
          <w:color w:val="FF0000"/>
          <w:lang w:eastAsia="en-GB"/>
        </w:rPr>
        <w:t>People with specific cancers:</w:t>
      </w:r>
    </w:p>
    <w:p w:rsidR="009D0F68" w:rsidRPr="00300F2D" w:rsidRDefault="009D0F68" w:rsidP="009D0F68">
      <w:pPr>
        <w:numPr>
          <w:ilvl w:val="1"/>
          <w:numId w:val="8"/>
        </w:numPr>
        <w:shd w:val="clear" w:color="auto" w:fill="FFFFFF"/>
        <w:spacing w:after="75" w:line="240" w:lineRule="auto"/>
        <w:ind w:left="600"/>
        <w:rPr>
          <w:rFonts w:eastAsia="Times New Roman" w:cs="Arial"/>
          <w:color w:val="FF0000"/>
          <w:lang w:eastAsia="en-GB"/>
        </w:rPr>
      </w:pPr>
      <w:r w:rsidRPr="00300F2D">
        <w:rPr>
          <w:rFonts w:eastAsia="Times New Roman" w:cs="Arial"/>
          <w:color w:val="FF0000"/>
          <w:lang w:eastAsia="en-GB"/>
        </w:rPr>
        <w:t>people with cancer who are undergoing active chemotherapy</w:t>
      </w:r>
    </w:p>
    <w:p w:rsidR="009D0F68" w:rsidRPr="00300F2D" w:rsidRDefault="009D0F68" w:rsidP="009D0F68">
      <w:pPr>
        <w:numPr>
          <w:ilvl w:val="1"/>
          <w:numId w:val="8"/>
        </w:numPr>
        <w:shd w:val="clear" w:color="auto" w:fill="FFFFFF"/>
        <w:spacing w:after="75" w:line="240" w:lineRule="auto"/>
        <w:ind w:left="600"/>
        <w:rPr>
          <w:rFonts w:eastAsia="Times New Roman" w:cs="Arial"/>
          <w:color w:val="FF0000"/>
          <w:lang w:eastAsia="en-GB"/>
        </w:rPr>
      </w:pPr>
      <w:r w:rsidRPr="00300F2D">
        <w:rPr>
          <w:rFonts w:eastAsia="Times New Roman" w:cs="Arial"/>
          <w:color w:val="FF0000"/>
          <w:lang w:eastAsia="en-GB"/>
        </w:rPr>
        <w:t>people with lung cancer who are undergoing radical radiotherapy</w:t>
      </w:r>
    </w:p>
    <w:p w:rsidR="009D0F68" w:rsidRPr="00300F2D" w:rsidRDefault="009D0F68" w:rsidP="009D0F68">
      <w:pPr>
        <w:numPr>
          <w:ilvl w:val="1"/>
          <w:numId w:val="8"/>
        </w:numPr>
        <w:shd w:val="clear" w:color="auto" w:fill="FFFFFF"/>
        <w:spacing w:after="75" w:line="240" w:lineRule="auto"/>
        <w:ind w:left="600"/>
        <w:rPr>
          <w:rFonts w:eastAsia="Times New Roman" w:cs="Arial"/>
          <w:color w:val="FF0000"/>
          <w:lang w:eastAsia="en-GB"/>
        </w:rPr>
      </w:pPr>
      <w:r w:rsidRPr="00300F2D">
        <w:rPr>
          <w:rFonts w:eastAsia="Times New Roman" w:cs="Arial"/>
          <w:color w:val="FF0000"/>
          <w:lang w:eastAsia="en-GB"/>
        </w:rPr>
        <w:t>people with cancers of the blood or bone marrow such as leukaemia, lymphoma or myeloma who are at any stage of treatment</w:t>
      </w:r>
    </w:p>
    <w:p w:rsidR="009D0F68" w:rsidRPr="00300F2D" w:rsidRDefault="009D0F68" w:rsidP="009D0F68">
      <w:pPr>
        <w:numPr>
          <w:ilvl w:val="1"/>
          <w:numId w:val="8"/>
        </w:numPr>
        <w:shd w:val="clear" w:color="auto" w:fill="FFFFFF"/>
        <w:spacing w:after="75" w:line="240" w:lineRule="auto"/>
        <w:ind w:left="600"/>
        <w:rPr>
          <w:rFonts w:eastAsia="Times New Roman" w:cs="Arial"/>
          <w:color w:val="FF0000"/>
          <w:lang w:eastAsia="en-GB"/>
        </w:rPr>
      </w:pPr>
      <w:r w:rsidRPr="00300F2D">
        <w:rPr>
          <w:rFonts w:eastAsia="Times New Roman" w:cs="Arial"/>
          <w:color w:val="FF0000"/>
          <w:lang w:eastAsia="en-GB"/>
        </w:rPr>
        <w:t>people having immunotherapy or other continuing antibody treatments for cancer</w:t>
      </w:r>
    </w:p>
    <w:p w:rsidR="009D0F68" w:rsidRPr="00300F2D" w:rsidRDefault="009D0F68" w:rsidP="009D0F68">
      <w:pPr>
        <w:numPr>
          <w:ilvl w:val="1"/>
          <w:numId w:val="8"/>
        </w:numPr>
        <w:shd w:val="clear" w:color="auto" w:fill="FFFFFF"/>
        <w:spacing w:after="75" w:line="240" w:lineRule="auto"/>
        <w:ind w:left="600"/>
        <w:rPr>
          <w:rFonts w:eastAsia="Times New Roman" w:cs="Arial"/>
          <w:color w:val="FF0000"/>
          <w:lang w:eastAsia="en-GB"/>
        </w:rPr>
      </w:pPr>
      <w:r w:rsidRPr="00300F2D">
        <w:rPr>
          <w:rFonts w:eastAsia="Times New Roman" w:cs="Arial"/>
          <w:color w:val="FF0000"/>
          <w:lang w:eastAsia="en-GB"/>
        </w:rPr>
        <w:t>people having other targeted cancer treatments which can affect the immune system, such as protein kinase inhibitors or PARP inhibitors</w:t>
      </w:r>
    </w:p>
    <w:p w:rsidR="009D0F68" w:rsidRPr="00300F2D" w:rsidRDefault="009D0F68" w:rsidP="009D0F68">
      <w:pPr>
        <w:numPr>
          <w:ilvl w:val="1"/>
          <w:numId w:val="8"/>
        </w:numPr>
        <w:shd w:val="clear" w:color="auto" w:fill="FFFFFF"/>
        <w:spacing w:after="75" w:line="240" w:lineRule="auto"/>
        <w:ind w:left="600"/>
        <w:rPr>
          <w:rFonts w:eastAsia="Times New Roman" w:cs="Arial"/>
          <w:color w:val="FF0000"/>
          <w:lang w:eastAsia="en-GB"/>
        </w:rPr>
      </w:pPr>
      <w:r w:rsidRPr="00300F2D">
        <w:rPr>
          <w:rFonts w:eastAsia="Times New Roman" w:cs="Arial"/>
          <w:color w:val="FF0000"/>
          <w:lang w:eastAsia="en-GB"/>
        </w:rPr>
        <w:t>people who have had bone marrow or stem cell transplants in the last 6 months, or who are still taking immunosuppression drugs</w:t>
      </w:r>
    </w:p>
    <w:p w:rsidR="009D0F68" w:rsidRPr="00300F2D" w:rsidRDefault="009D0F68" w:rsidP="009D0F6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eastAsia="Times New Roman" w:cs="Arial"/>
          <w:color w:val="FF0000"/>
          <w:lang w:eastAsia="en-GB"/>
        </w:rPr>
      </w:pPr>
      <w:r w:rsidRPr="00300F2D">
        <w:rPr>
          <w:rFonts w:eastAsia="Times New Roman" w:cs="Arial"/>
          <w:color w:val="FF0000"/>
          <w:lang w:eastAsia="en-GB"/>
        </w:rPr>
        <w:t>People with severe respiratory conditions including all cystic fibrosis, severe asthma and severe COPD.</w:t>
      </w:r>
    </w:p>
    <w:p w:rsidR="009D0F68" w:rsidRPr="00300F2D" w:rsidRDefault="009D0F68" w:rsidP="009D0F6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eastAsia="Times New Roman" w:cs="Arial"/>
          <w:color w:val="FF0000"/>
          <w:lang w:eastAsia="en-GB"/>
        </w:rPr>
      </w:pPr>
      <w:r w:rsidRPr="00300F2D">
        <w:rPr>
          <w:rFonts w:eastAsia="Times New Roman" w:cs="Arial"/>
          <w:color w:val="FF0000"/>
          <w:lang w:eastAsia="en-GB"/>
        </w:rPr>
        <w:t>People with rare diseases and inborn errors of metabolism that significantly increase the risk of infections (such as SCID, homozygous sickle cell).</w:t>
      </w:r>
    </w:p>
    <w:p w:rsidR="009D0F68" w:rsidRPr="00300F2D" w:rsidRDefault="009D0F68" w:rsidP="009D0F6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eastAsia="Times New Roman" w:cs="Arial"/>
          <w:color w:val="FF0000"/>
          <w:lang w:eastAsia="en-GB"/>
        </w:rPr>
      </w:pPr>
      <w:r w:rsidRPr="00300F2D">
        <w:rPr>
          <w:rFonts w:eastAsia="Times New Roman" w:cs="Arial"/>
          <w:color w:val="FF0000"/>
          <w:lang w:eastAsia="en-GB"/>
        </w:rPr>
        <w:t>People on immunosuppression therapies sufficient to significantly increase risk of infection.</w:t>
      </w:r>
    </w:p>
    <w:p w:rsidR="009D0F68" w:rsidRPr="00300F2D" w:rsidRDefault="009D0F68" w:rsidP="009D0F68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eastAsia="Times New Roman" w:cs="Arial"/>
          <w:color w:val="FF0000"/>
          <w:lang w:eastAsia="en-GB"/>
        </w:rPr>
      </w:pPr>
      <w:r w:rsidRPr="00300F2D">
        <w:rPr>
          <w:rFonts w:eastAsia="Times New Roman" w:cs="Arial"/>
          <w:color w:val="FF0000"/>
          <w:lang w:eastAsia="en-GB"/>
        </w:rPr>
        <w:t>Women who are pregnant with significant heart disease, congenital or acquired</w:t>
      </w:r>
    </w:p>
    <w:p w:rsidR="002A5AA9" w:rsidRPr="00300F2D" w:rsidRDefault="002A5AA9" w:rsidP="002A5AA9">
      <w:pPr>
        <w:pStyle w:val="Heading4"/>
        <w:shd w:val="clear" w:color="auto" w:fill="FFFFFF"/>
        <w:spacing w:before="525" w:beforeAutospacing="0" w:after="0" w:afterAutospacing="0"/>
        <w:textAlignment w:val="baseline"/>
        <w:rPr>
          <w:rFonts w:asciiTheme="minorHAnsi" w:hAnsiTheme="minorHAnsi" w:cs="Arial"/>
          <w:color w:val="7030A0"/>
          <w:sz w:val="28"/>
          <w:szCs w:val="28"/>
        </w:rPr>
      </w:pPr>
      <w:r w:rsidRPr="00300F2D">
        <w:rPr>
          <w:rFonts w:asciiTheme="minorHAnsi" w:hAnsiTheme="minorHAnsi"/>
          <w:bCs w:val="0"/>
          <w:color w:val="7030A0"/>
          <w:sz w:val="28"/>
          <w:szCs w:val="28"/>
        </w:rPr>
        <w:t xml:space="preserve">Who falls in to the ‘vulnerable’ patient group and should </w:t>
      </w:r>
      <w:r w:rsidRPr="00300F2D">
        <w:rPr>
          <w:rFonts w:asciiTheme="minorHAnsi" w:hAnsiTheme="minorHAnsi" w:cs="Arial"/>
          <w:color w:val="7030A0"/>
          <w:sz w:val="28"/>
          <w:szCs w:val="28"/>
        </w:rPr>
        <w:t>be particularly stringent in following social distancing measures</w:t>
      </w:r>
      <w:r w:rsidRPr="00300F2D">
        <w:rPr>
          <w:rFonts w:asciiTheme="minorHAnsi" w:hAnsiTheme="minorHAnsi"/>
          <w:bCs w:val="0"/>
          <w:color w:val="7030A0"/>
          <w:sz w:val="28"/>
          <w:szCs w:val="28"/>
        </w:rPr>
        <w:t>?</w:t>
      </w:r>
    </w:p>
    <w:p w:rsidR="002A5AA9" w:rsidRPr="00300F2D" w:rsidRDefault="002A5AA9" w:rsidP="002A5AA9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cs="Arial"/>
          <w:color w:val="7030A0"/>
        </w:rPr>
      </w:pPr>
      <w:r w:rsidRPr="00300F2D">
        <w:rPr>
          <w:rFonts w:cs="Arial"/>
          <w:color w:val="7030A0"/>
        </w:rPr>
        <w:t>aged 70 or older (regardless of medical conditions)</w:t>
      </w:r>
    </w:p>
    <w:p w:rsidR="002A5AA9" w:rsidRPr="00300F2D" w:rsidRDefault="002A5AA9" w:rsidP="002A5AA9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cs="Arial"/>
          <w:color w:val="7030A0"/>
        </w:rPr>
      </w:pPr>
      <w:r w:rsidRPr="00300F2D">
        <w:rPr>
          <w:rFonts w:cs="Arial"/>
          <w:color w:val="7030A0"/>
        </w:rPr>
        <w:t>under 70 with an underlying health condition listed below (</w:t>
      </w:r>
      <w:proofErr w:type="spellStart"/>
      <w:r w:rsidRPr="00300F2D">
        <w:rPr>
          <w:rFonts w:cs="Arial"/>
          <w:color w:val="7030A0"/>
        </w:rPr>
        <w:t>ie</w:t>
      </w:r>
      <w:proofErr w:type="spellEnd"/>
      <w:r w:rsidRPr="00300F2D">
        <w:rPr>
          <w:rFonts w:cs="Arial"/>
          <w:color w:val="7030A0"/>
        </w:rPr>
        <w:t xml:space="preserve"> anyone instructed to get a flu jab as an adult each year on medical grounds):</w:t>
      </w:r>
    </w:p>
    <w:p w:rsidR="002A5AA9" w:rsidRPr="00300F2D" w:rsidRDefault="002A5AA9" w:rsidP="002A5AA9">
      <w:pPr>
        <w:numPr>
          <w:ilvl w:val="1"/>
          <w:numId w:val="10"/>
        </w:numPr>
        <w:shd w:val="clear" w:color="auto" w:fill="FFFFFF"/>
        <w:spacing w:after="0" w:line="240" w:lineRule="auto"/>
        <w:ind w:left="600"/>
        <w:rPr>
          <w:rFonts w:cs="Arial"/>
          <w:color w:val="7030A0"/>
        </w:rPr>
      </w:pPr>
      <w:r w:rsidRPr="00300F2D">
        <w:rPr>
          <w:rFonts w:cs="Arial"/>
          <w:color w:val="7030A0"/>
        </w:rPr>
        <w:t>chronic (long-term) respiratory diseases, such as </w:t>
      </w:r>
      <w:hyperlink r:id="rId11" w:history="1">
        <w:r w:rsidRPr="00300F2D">
          <w:rPr>
            <w:rStyle w:val="Hyperlink"/>
            <w:rFonts w:cs="Arial"/>
            <w:color w:val="7030A0"/>
            <w:bdr w:val="none" w:sz="0" w:space="0" w:color="auto" w:frame="1"/>
          </w:rPr>
          <w:t>asthma</w:t>
        </w:r>
      </w:hyperlink>
      <w:r w:rsidRPr="00300F2D">
        <w:rPr>
          <w:rFonts w:cs="Arial"/>
          <w:color w:val="7030A0"/>
        </w:rPr>
        <w:t>, </w:t>
      </w:r>
      <w:hyperlink r:id="rId12" w:history="1">
        <w:r w:rsidRPr="00300F2D">
          <w:rPr>
            <w:rStyle w:val="Hyperlink"/>
            <w:rFonts w:cs="Arial"/>
            <w:color w:val="7030A0"/>
            <w:bdr w:val="none" w:sz="0" w:space="0" w:color="auto" w:frame="1"/>
          </w:rPr>
          <w:t>chronic obstructive pulmonary disease (COPD)</w:t>
        </w:r>
      </w:hyperlink>
      <w:r w:rsidRPr="00300F2D">
        <w:rPr>
          <w:rFonts w:cs="Arial"/>
          <w:color w:val="7030A0"/>
        </w:rPr>
        <w:t>, emphysema or </w:t>
      </w:r>
      <w:hyperlink r:id="rId13" w:history="1">
        <w:r w:rsidRPr="00300F2D">
          <w:rPr>
            <w:rStyle w:val="Hyperlink"/>
            <w:rFonts w:cs="Arial"/>
            <w:color w:val="7030A0"/>
            <w:bdr w:val="none" w:sz="0" w:space="0" w:color="auto" w:frame="1"/>
          </w:rPr>
          <w:t>bronchitis</w:t>
        </w:r>
      </w:hyperlink>
    </w:p>
    <w:p w:rsidR="002A5AA9" w:rsidRPr="00300F2D" w:rsidRDefault="002A5AA9" w:rsidP="002A5AA9">
      <w:pPr>
        <w:numPr>
          <w:ilvl w:val="1"/>
          <w:numId w:val="10"/>
        </w:numPr>
        <w:shd w:val="clear" w:color="auto" w:fill="FFFFFF"/>
        <w:spacing w:after="0" w:line="240" w:lineRule="auto"/>
        <w:ind w:left="600"/>
        <w:rPr>
          <w:rFonts w:cs="Arial"/>
          <w:color w:val="7030A0"/>
        </w:rPr>
      </w:pPr>
      <w:r w:rsidRPr="00300F2D">
        <w:rPr>
          <w:rFonts w:cs="Arial"/>
          <w:color w:val="7030A0"/>
        </w:rPr>
        <w:t>chronic heart disease, such as </w:t>
      </w:r>
      <w:hyperlink r:id="rId14" w:history="1">
        <w:r w:rsidRPr="00300F2D">
          <w:rPr>
            <w:rStyle w:val="Hyperlink"/>
            <w:rFonts w:cs="Arial"/>
            <w:color w:val="7030A0"/>
            <w:bdr w:val="none" w:sz="0" w:space="0" w:color="auto" w:frame="1"/>
          </w:rPr>
          <w:t>heart failure</w:t>
        </w:r>
      </w:hyperlink>
    </w:p>
    <w:p w:rsidR="002A5AA9" w:rsidRPr="00300F2D" w:rsidRDefault="003E314C" w:rsidP="002A5AA9">
      <w:pPr>
        <w:numPr>
          <w:ilvl w:val="1"/>
          <w:numId w:val="10"/>
        </w:numPr>
        <w:shd w:val="clear" w:color="auto" w:fill="FFFFFF"/>
        <w:spacing w:after="0" w:line="240" w:lineRule="auto"/>
        <w:ind w:left="600"/>
        <w:rPr>
          <w:rFonts w:cs="Arial"/>
          <w:color w:val="7030A0"/>
        </w:rPr>
      </w:pPr>
      <w:hyperlink r:id="rId15" w:history="1">
        <w:r w:rsidR="002A5AA9" w:rsidRPr="00300F2D">
          <w:rPr>
            <w:rStyle w:val="Hyperlink"/>
            <w:rFonts w:cs="Arial"/>
            <w:color w:val="7030A0"/>
            <w:bdr w:val="none" w:sz="0" w:space="0" w:color="auto" w:frame="1"/>
          </w:rPr>
          <w:t>chronic kidney disease</w:t>
        </w:r>
      </w:hyperlink>
    </w:p>
    <w:p w:rsidR="002A5AA9" w:rsidRPr="00300F2D" w:rsidRDefault="002A5AA9" w:rsidP="002A5AA9">
      <w:pPr>
        <w:numPr>
          <w:ilvl w:val="1"/>
          <w:numId w:val="10"/>
        </w:numPr>
        <w:shd w:val="clear" w:color="auto" w:fill="FFFFFF"/>
        <w:spacing w:after="0" w:line="240" w:lineRule="auto"/>
        <w:ind w:left="600"/>
        <w:rPr>
          <w:rFonts w:cs="Arial"/>
          <w:color w:val="7030A0"/>
        </w:rPr>
      </w:pPr>
      <w:r w:rsidRPr="00300F2D">
        <w:rPr>
          <w:rFonts w:cs="Arial"/>
          <w:color w:val="7030A0"/>
        </w:rPr>
        <w:t>chronic liver disease, such as </w:t>
      </w:r>
      <w:hyperlink r:id="rId16" w:history="1">
        <w:r w:rsidRPr="00300F2D">
          <w:rPr>
            <w:rStyle w:val="Hyperlink"/>
            <w:rFonts w:cs="Arial"/>
            <w:color w:val="7030A0"/>
            <w:bdr w:val="none" w:sz="0" w:space="0" w:color="auto" w:frame="1"/>
          </w:rPr>
          <w:t>hepatitis</w:t>
        </w:r>
      </w:hyperlink>
    </w:p>
    <w:p w:rsidR="002A5AA9" w:rsidRPr="00300F2D" w:rsidRDefault="002A5AA9" w:rsidP="002A5AA9">
      <w:pPr>
        <w:numPr>
          <w:ilvl w:val="1"/>
          <w:numId w:val="10"/>
        </w:numPr>
        <w:shd w:val="clear" w:color="auto" w:fill="FFFFFF"/>
        <w:spacing w:after="0" w:line="240" w:lineRule="auto"/>
        <w:ind w:left="600"/>
        <w:rPr>
          <w:rFonts w:cs="Arial"/>
          <w:color w:val="7030A0"/>
        </w:rPr>
      </w:pPr>
      <w:r w:rsidRPr="00300F2D">
        <w:rPr>
          <w:rFonts w:cs="Arial"/>
          <w:color w:val="7030A0"/>
        </w:rPr>
        <w:t>chronic neurological conditions, such as </w:t>
      </w:r>
      <w:hyperlink r:id="rId17" w:history="1">
        <w:r w:rsidRPr="00300F2D">
          <w:rPr>
            <w:rStyle w:val="Hyperlink"/>
            <w:rFonts w:cs="Arial"/>
            <w:color w:val="7030A0"/>
            <w:bdr w:val="none" w:sz="0" w:space="0" w:color="auto" w:frame="1"/>
          </w:rPr>
          <w:t>Parkinson’s disease</w:t>
        </w:r>
      </w:hyperlink>
      <w:r w:rsidRPr="00300F2D">
        <w:rPr>
          <w:rFonts w:cs="Arial"/>
          <w:color w:val="7030A0"/>
        </w:rPr>
        <w:t>, </w:t>
      </w:r>
      <w:hyperlink r:id="rId18" w:history="1">
        <w:r w:rsidRPr="00300F2D">
          <w:rPr>
            <w:rStyle w:val="Hyperlink"/>
            <w:rFonts w:cs="Arial"/>
            <w:color w:val="7030A0"/>
            <w:bdr w:val="none" w:sz="0" w:space="0" w:color="auto" w:frame="1"/>
          </w:rPr>
          <w:t>motor neurone disease</w:t>
        </w:r>
      </w:hyperlink>
      <w:r w:rsidRPr="00300F2D">
        <w:rPr>
          <w:rFonts w:cs="Arial"/>
          <w:color w:val="7030A0"/>
        </w:rPr>
        <w:t>, </w:t>
      </w:r>
      <w:hyperlink r:id="rId19" w:history="1">
        <w:r w:rsidRPr="00300F2D">
          <w:rPr>
            <w:rStyle w:val="Hyperlink"/>
            <w:rFonts w:cs="Arial"/>
            <w:color w:val="7030A0"/>
            <w:bdr w:val="none" w:sz="0" w:space="0" w:color="auto" w:frame="1"/>
          </w:rPr>
          <w:t>multiple sclerosis (MS)</w:t>
        </w:r>
      </w:hyperlink>
      <w:r w:rsidRPr="00300F2D">
        <w:rPr>
          <w:rFonts w:cs="Arial"/>
          <w:color w:val="7030A0"/>
        </w:rPr>
        <w:t>, a learning disability or cerebral palsy</w:t>
      </w:r>
    </w:p>
    <w:p w:rsidR="002A5AA9" w:rsidRPr="00300F2D" w:rsidRDefault="003E314C" w:rsidP="002A5AA9">
      <w:pPr>
        <w:numPr>
          <w:ilvl w:val="1"/>
          <w:numId w:val="10"/>
        </w:numPr>
        <w:shd w:val="clear" w:color="auto" w:fill="FFFFFF"/>
        <w:spacing w:after="0" w:line="240" w:lineRule="auto"/>
        <w:ind w:left="600"/>
        <w:rPr>
          <w:rFonts w:cs="Arial"/>
          <w:color w:val="7030A0"/>
        </w:rPr>
      </w:pPr>
      <w:hyperlink r:id="rId20" w:history="1">
        <w:r w:rsidR="002A5AA9" w:rsidRPr="00300F2D">
          <w:rPr>
            <w:rStyle w:val="Hyperlink"/>
            <w:rFonts w:cs="Arial"/>
            <w:color w:val="7030A0"/>
            <w:bdr w:val="none" w:sz="0" w:space="0" w:color="auto" w:frame="1"/>
          </w:rPr>
          <w:t>diabetes</w:t>
        </w:r>
      </w:hyperlink>
    </w:p>
    <w:p w:rsidR="002A5AA9" w:rsidRPr="00300F2D" w:rsidRDefault="002A5AA9" w:rsidP="002A5AA9">
      <w:pPr>
        <w:numPr>
          <w:ilvl w:val="1"/>
          <w:numId w:val="10"/>
        </w:numPr>
        <w:shd w:val="clear" w:color="auto" w:fill="FFFFFF"/>
        <w:spacing w:after="0" w:line="240" w:lineRule="auto"/>
        <w:ind w:left="600"/>
        <w:rPr>
          <w:rFonts w:cs="Arial"/>
          <w:color w:val="7030A0"/>
        </w:rPr>
      </w:pPr>
      <w:r w:rsidRPr="00300F2D">
        <w:rPr>
          <w:rFonts w:cs="Arial"/>
          <w:color w:val="7030A0"/>
        </w:rPr>
        <w:t>problems with your spleen – for example, </w:t>
      </w:r>
      <w:hyperlink r:id="rId21" w:history="1">
        <w:r w:rsidRPr="00300F2D">
          <w:rPr>
            <w:rStyle w:val="Hyperlink"/>
            <w:rFonts w:cs="Arial"/>
            <w:color w:val="7030A0"/>
            <w:bdr w:val="none" w:sz="0" w:space="0" w:color="auto" w:frame="1"/>
          </w:rPr>
          <w:t>sickle cell</w:t>
        </w:r>
      </w:hyperlink>
      <w:r w:rsidRPr="00300F2D">
        <w:rPr>
          <w:rFonts w:cs="Arial"/>
          <w:color w:val="7030A0"/>
        </w:rPr>
        <w:t> disease or if you have had your spleen removed</w:t>
      </w:r>
    </w:p>
    <w:p w:rsidR="002A5AA9" w:rsidRPr="00300F2D" w:rsidRDefault="002A5AA9" w:rsidP="002A5AA9">
      <w:pPr>
        <w:numPr>
          <w:ilvl w:val="1"/>
          <w:numId w:val="10"/>
        </w:numPr>
        <w:shd w:val="clear" w:color="auto" w:fill="FFFFFF"/>
        <w:spacing w:after="0" w:line="240" w:lineRule="auto"/>
        <w:ind w:left="600"/>
        <w:rPr>
          <w:rFonts w:cs="Arial"/>
          <w:color w:val="7030A0"/>
        </w:rPr>
      </w:pPr>
      <w:r w:rsidRPr="00300F2D">
        <w:rPr>
          <w:rFonts w:cs="Arial"/>
          <w:color w:val="7030A0"/>
        </w:rPr>
        <w:t>a weakened immune system as the result of conditions such as </w:t>
      </w:r>
      <w:hyperlink r:id="rId22" w:history="1">
        <w:r w:rsidRPr="00300F2D">
          <w:rPr>
            <w:rStyle w:val="Hyperlink"/>
            <w:rFonts w:cs="Arial"/>
            <w:color w:val="7030A0"/>
            <w:bdr w:val="none" w:sz="0" w:space="0" w:color="auto" w:frame="1"/>
          </w:rPr>
          <w:t>HIV and AIDS</w:t>
        </w:r>
      </w:hyperlink>
      <w:r w:rsidRPr="00300F2D">
        <w:rPr>
          <w:rFonts w:cs="Arial"/>
          <w:color w:val="7030A0"/>
        </w:rPr>
        <w:t>, or medicines such as </w:t>
      </w:r>
      <w:hyperlink r:id="rId23" w:history="1">
        <w:r w:rsidRPr="00300F2D">
          <w:rPr>
            <w:rStyle w:val="Hyperlink"/>
            <w:rFonts w:cs="Arial"/>
            <w:color w:val="7030A0"/>
            <w:bdr w:val="none" w:sz="0" w:space="0" w:color="auto" w:frame="1"/>
          </w:rPr>
          <w:t>steroid tablets</w:t>
        </w:r>
      </w:hyperlink>
      <w:r w:rsidRPr="00300F2D">
        <w:rPr>
          <w:rFonts w:cs="Arial"/>
          <w:color w:val="7030A0"/>
        </w:rPr>
        <w:t> or </w:t>
      </w:r>
      <w:hyperlink r:id="rId24" w:history="1">
        <w:r w:rsidRPr="00300F2D">
          <w:rPr>
            <w:rStyle w:val="Hyperlink"/>
            <w:rFonts w:cs="Arial"/>
            <w:color w:val="7030A0"/>
            <w:bdr w:val="none" w:sz="0" w:space="0" w:color="auto" w:frame="1"/>
          </w:rPr>
          <w:t>chemotherapy</w:t>
        </w:r>
      </w:hyperlink>
    </w:p>
    <w:p w:rsidR="002A5AA9" w:rsidRPr="00300F2D" w:rsidRDefault="002A5AA9" w:rsidP="002A5AA9">
      <w:pPr>
        <w:numPr>
          <w:ilvl w:val="1"/>
          <w:numId w:val="10"/>
        </w:numPr>
        <w:shd w:val="clear" w:color="auto" w:fill="FFFFFF"/>
        <w:spacing w:after="75" w:line="240" w:lineRule="auto"/>
        <w:ind w:left="600"/>
        <w:rPr>
          <w:rFonts w:cs="Arial"/>
          <w:color w:val="7030A0"/>
        </w:rPr>
      </w:pPr>
      <w:r w:rsidRPr="00300F2D">
        <w:rPr>
          <w:rFonts w:cs="Arial"/>
          <w:color w:val="7030A0"/>
        </w:rPr>
        <w:t>being seriously overweight (a body mass index (BMI) of 40 or above)</w:t>
      </w:r>
    </w:p>
    <w:p w:rsidR="00443C70" w:rsidRPr="00300F2D" w:rsidRDefault="002A5AA9" w:rsidP="002A5AA9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color w:val="7030A0"/>
        </w:rPr>
      </w:pPr>
      <w:r w:rsidRPr="00300F2D">
        <w:rPr>
          <w:rFonts w:cs="Arial"/>
          <w:color w:val="7030A0"/>
        </w:rPr>
        <w:t>those who are pregnant</w:t>
      </w:r>
    </w:p>
    <w:sectPr w:rsidR="00443C70" w:rsidRPr="00300F2D" w:rsidSect="00B06FD5">
      <w:headerReference w:type="default" r:id="rId25"/>
      <w:footerReference w:type="default" r:id="rId2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4C" w:rsidRDefault="003E314C" w:rsidP="00B32D71">
      <w:pPr>
        <w:spacing w:after="0" w:line="240" w:lineRule="auto"/>
      </w:pPr>
      <w:r>
        <w:separator/>
      </w:r>
    </w:p>
  </w:endnote>
  <w:endnote w:type="continuationSeparator" w:id="0">
    <w:p w:rsidR="003E314C" w:rsidRDefault="003E314C" w:rsidP="00B3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A9" w:rsidRPr="002A5AA9" w:rsidRDefault="002A5AA9" w:rsidP="002A5AA9">
    <w:pPr>
      <w:rPr>
        <w:bCs/>
      </w:rPr>
    </w:pPr>
    <w:r w:rsidRPr="002A5AA9">
      <w:rPr>
        <w:bCs/>
      </w:rPr>
      <w:t>Friday 10</w:t>
    </w:r>
    <w:r w:rsidRPr="002A5AA9">
      <w:rPr>
        <w:bCs/>
        <w:vertAlign w:val="superscript"/>
      </w:rPr>
      <w:t>th</w:t>
    </w:r>
    <w:r w:rsidRPr="002A5AA9">
      <w:rPr>
        <w:bCs/>
      </w:rPr>
      <w:t xml:space="preserve"> April 2020</w:t>
    </w:r>
  </w:p>
  <w:p w:rsidR="002A5AA9" w:rsidRDefault="002A5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4C" w:rsidRDefault="003E314C" w:rsidP="00B32D71">
      <w:pPr>
        <w:spacing w:after="0" w:line="240" w:lineRule="auto"/>
      </w:pPr>
      <w:r>
        <w:separator/>
      </w:r>
    </w:p>
  </w:footnote>
  <w:footnote w:type="continuationSeparator" w:id="0">
    <w:p w:rsidR="003E314C" w:rsidRDefault="003E314C" w:rsidP="00B3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D5" w:rsidRDefault="00B06FD5" w:rsidP="00B06FD5">
    <w:pPr>
      <w:spacing w:after="0" w:line="240" w:lineRule="auto"/>
      <w:jc w:val="center"/>
      <w:rPr>
        <w:rFonts w:ascii="Bookman Old Style" w:eastAsia="Times New Roman" w:hAnsi="Bookman Old Style" w:cs="Arial"/>
        <w:b/>
        <w:vanish/>
        <w:sz w:val="40"/>
        <w:szCs w:val="40"/>
        <w:specVanish/>
      </w:rPr>
    </w:pPr>
    <w:r>
      <w:rPr>
        <w:rFonts w:ascii="Bookman Old Style" w:eastAsia="Times New Roman" w:hAnsi="Bookman Old Style" w:cs="Arial"/>
        <w:b/>
        <w:sz w:val="40"/>
        <w:szCs w:val="40"/>
      </w:rPr>
      <w:t>The Ridgeway Surgery</w:t>
    </w:r>
  </w:p>
  <w:p w:rsidR="00B06FD5" w:rsidRDefault="00B06FD5" w:rsidP="00B06FD5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 xml:space="preserve"> </w:t>
    </w:r>
  </w:p>
  <w:p w:rsidR="00B06FD5" w:rsidRDefault="00B06FD5" w:rsidP="00B06FD5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71 Imperial Drive</w:t>
    </w:r>
  </w:p>
  <w:p w:rsidR="00B06FD5" w:rsidRDefault="00B06FD5" w:rsidP="00B06FD5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Harrow, Middlesex</w:t>
    </w:r>
  </w:p>
  <w:p w:rsidR="00B06FD5" w:rsidRDefault="00B06FD5" w:rsidP="00B06FD5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HA2 7DU</w:t>
    </w:r>
  </w:p>
  <w:p w:rsidR="00B06FD5" w:rsidRDefault="00B06FD5" w:rsidP="00B06FD5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 xml:space="preserve">Tel No: 020 8427 2470 </w:t>
    </w:r>
  </w:p>
  <w:p w:rsidR="00B06FD5" w:rsidRDefault="00B06FD5" w:rsidP="00B06FD5">
    <w:pPr>
      <w:pStyle w:val="Header"/>
    </w:pPr>
  </w:p>
  <w:p w:rsidR="002A5AA9" w:rsidRDefault="002A5AA9" w:rsidP="002A5AA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AAE"/>
    <w:multiLevelType w:val="hybridMultilevel"/>
    <w:tmpl w:val="B7A0F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2A124A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5E8C"/>
    <w:multiLevelType w:val="multilevel"/>
    <w:tmpl w:val="F978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C97"/>
    <w:multiLevelType w:val="hybridMultilevel"/>
    <w:tmpl w:val="674C64EE"/>
    <w:lvl w:ilvl="0" w:tplc="8CC28F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15437"/>
    <w:multiLevelType w:val="multilevel"/>
    <w:tmpl w:val="2D0C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35291"/>
    <w:multiLevelType w:val="hybridMultilevel"/>
    <w:tmpl w:val="D4F2F72E"/>
    <w:lvl w:ilvl="0" w:tplc="402421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D37FA"/>
    <w:multiLevelType w:val="multilevel"/>
    <w:tmpl w:val="7D0C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1D1511"/>
    <w:multiLevelType w:val="hybridMultilevel"/>
    <w:tmpl w:val="9FDE763A"/>
    <w:lvl w:ilvl="0" w:tplc="08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7">
    <w:nsid w:val="58074CAC"/>
    <w:multiLevelType w:val="hybridMultilevel"/>
    <w:tmpl w:val="7256A77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1FD75A6"/>
    <w:multiLevelType w:val="hybridMultilevel"/>
    <w:tmpl w:val="D960B602"/>
    <w:lvl w:ilvl="0" w:tplc="132A84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B400E9"/>
    <w:multiLevelType w:val="multilevel"/>
    <w:tmpl w:val="410C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1"/>
    <w:rsid w:val="000000CF"/>
    <w:rsid w:val="00047075"/>
    <w:rsid w:val="000E38A4"/>
    <w:rsid w:val="001074A8"/>
    <w:rsid w:val="00160C75"/>
    <w:rsid w:val="002A5AA9"/>
    <w:rsid w:val="002A6B8C"/>
    <w:rsid w:val="00300F2D"/>
    <w:rsid w:val="003626ED"/>
    <w:rsid w:val="00393C6A"/>
    <w:rsid w:val="003A13FA"/>
    <w:rsid w:val="003D4870"/>
    <w:rsid w:val="003E314C"/>
    <w:rsid w:val="003F6998"/>
    <w:rsid w:val="00426D38"/>
    <w:rsid w:val="00443C70"/>
    <w:rsid w:val="00453553"/>
    <w:rsid w:val="006477BF"/>
    <w:rsid w:val="006F66C0"/>
    <w:rsid w:val="00770228"/>
    <w:rsid w:val="007D3467"/>
    <w:rsid w:val="009D0F68"/>
    <w:rsid w:val="009E2151"/>
    <w:rsid w:val="00A15F52"/>
    <w:rsid w:val="00A24343"/>
    <w:rsid w:val="00AE2346"/>
    <w:rsid w:val="00AF26D7"/>
    <w:rsid w:val="00AF6D55"/>
    <w:rsid w:val="00B06FD5"/>
    <w:rsid w:val="00B32D71"/>
    <w:rsid w:val="00B37351"/>
    <w:rsid w:val="00B76FD8"/>
    <w:rsid w:val="00BB0B13"/>
    <w:rsid w:val="00CB76C2"/>
    <w:rsid w:val="00CD173A"/>
    <w:rsid w:val="00D1501B"/>
    <w:rsid w:val="00D42B73"/>
    <w:rsid w:val="00D6624F"/>
    <w:rsid w:val="00DF7ABC"/>
    <w:rsid w:val="00EB0C9A"/>
    <w:rsid w:val="00F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71"/>
    <w:pPr>
      <w:spacing w:after="160" w:line="259" w:lineRule="auto"/>
    </w:pPr>
  </w:style>
  <w:style w:type="paragraph" w:styleId="Heading4">
    <w:name w:val="heading 4"/>
    <w:basedOn w:val="Normal"/>
    <w:link w:val="Heading4Char"/>
    <w:uiPriority w:val="9"/>
    <w:qFormat/>
    <w:rsid w:val="002A5A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1,List Paragraph Char Char Char,Indicator Text,Bullet 1,Numbered Para 1,Bullet Points,MAIN CONTENT,List Paragraph12,Bullet Style,F5 List Paragraph,OBC Bullet,List Paragraph11,Colorful List - Accent 11,L,L1"/>
    <w:basedOn w:val="Normal"/>
    <w:link w:val="ListParagraphChar"/>
    <w:uiPriority w:val="34"/>
    <w:qFormat/>
    <w:rsid w:val="00B32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D7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32D71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32D71"/>
    <w:rPr>
      <w:rFonts w:ascii="Arial" w:eastAsiaTheme="minorEastAsia" w:hAnsi="Arial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B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D71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D7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D71"/>
    <w:rPr>
      <w:vertAlign w:val="superscript"/>
    </w:rPr>
  </w:style>
  <w:style w:type="character" w:customStyle="1" w:styleId="ListParagraphChar">
    <w:name w:val="List Paragraph Char"/>
    <w:aliases w:val="Dot pt Char,No Spacing1 Char,List Paragraph1 Char,List Paragraph Char Char Char Char,Indicator Text Char,Bullet 1 Char,Numbered Para 1 Char,Bullet Points Char,MAIN CONTENT Char,List Paragraph12 Char,Bullet Style Char,OBC Bullet Char"/>
    <w:basedOn w:val="DefaultParagraphFont"/>
    <w:link w:val="ListParagraph"/>
    <w:uiPriority w:val="34"/>
    <w:locked/>
    <w:rsid w:val="00B32D71"/>
  </w:style>
  <w:style w:type="table" w:styleId="TableGrid">
    <w:name w:val="Table Grid"/>
    <w:basedOn w:val="TableNormal"/>
    <w:rsid w:val="00443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2A5AA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5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A9"/>
  </w:style>
  <w:style w:type="paragraph" w:styleId="Footer">
    <w:name w:val="footer"/>
    <w:basedOn w:val="Normal"/>
    <w:link w:val="FooterChar"/>
    <w:uiPriority w:val="99"/>
    <w:unhideWhenUsed/>
    <w:rsid w:val="002A5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A9"/>
  </w:style>
  <w:style w:type="paragraph" w:styleId="BalloonText">
    <w:name w:val="Balloon Text"/>
    <w:basedOn w:val="Normal"/>
    <w:link w:val="BalloonTextChar"/>
    <w:uiPriority w:val="99"/>
    <w:semiHidden/>
    <w:unhideWhenUsed/>
    <w:rsid w:val="0064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71"/>
    <w:pPr>
      <w:spacing w:after="160" w:line="259" w:lineRule="auto"/>
    </w:pPr>
  </w:style>
  <w:style w:type="paragraph" w:styleId="Heading4">
    <w:name w:val="heading 4"/>
    <w:basedOn w:val="Normal"/>
    <w:link w:val="Heading4Char"/>
    <w:uiPriority w:val="9"/>
    <w:qFormat/>
    <w:rsid w:val="002A5A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1,List Paragraph Char Char Char,Indicator Text,Bullet 1,Numbered Para 1,Bullet Points,MAIN CONTENT,List Paragraph12,Bullet Style,F5 List Paragraph,OBC Bullet,List Paragraph11,Colorful List - Accent 11,L,L1"/>
    <w:basedOn w:val="Normal"/>
    <w:link w:val="ListParagraphChar"/>
    <w:uiPriority w:val="34"/>
    <w:qFormat/>
    <w:rsid w:val="00B32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D7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32D71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32D71"/>
    <w:rPr>
      <w:rFonts w:ascii="Arial" w:eastAsiaTheme="minorEastAsia" w:hAnsi="Arial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B3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D71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D7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D71"/>
    <w:rPr>
      <w:vertAlign w:val="superscript"/>
    </w:rPr>
  </w:style>
  <w:style w:type="character" w:customStyle="1" w:styleId="ListParagraphChar">
    <w:name w:val="List Paragraph Char"/>
    <w:aliases w:val="Dot pt Char,No Spacing1 Char,List Paragraph1 Char,List Paragraph Char Char Char Char,Indicator Text Char,Bullet 1 Char,Numbered Para 1 Char,Bullet Points Char,MAIN CONTENT Char,List Paragraph12 Char,Bullet Style Char,OBC Bullet Char"/>
    <w:basedOn w:val="DefaultParagraphFont"/>
    <w:link w:val="ListParagraph"/>
    <w:uiPriority w:val="34"/>
    <w:locked/>
    <w:rsid w:val="00B32D71"/>
  </w:style>
  <w:style w:type="table" w:styleId="TableGrid">
    <w:name w:val="Table Grid"/>
    <w:basedOn w:val="TableNormal"/>
    <w:rsid w:val="00443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2A5AA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5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A9"/>
  </w:style>
  <w:style w:type="paragraph" w:styleId="Footer">
    <w:name w:val="footer"/>
    <w:basedOn w:val="Normal"/>
    <w:link w:val="FooterChar"/>
    <w:uiPriority w:val="99"/>
    <w:unhideWhenUsed/>
    <w:rsid w:val="002A5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A9"/>
  </w:style>
  <w:style w:type="paragraph" w:styleId="BalloonText">
    <w:name w:val="Balloon Text"/>
    <w:basedOn w:val="Normal"/>
    <w:link w:val="BalloonTextChar"/>
    <w:uiPriority w:val="99"/>
    <w:semiHidden/>
    <w:unhideWhenUsed/>
    <w:rsid w:val="0064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dgeway.info@nhs.net" TargetMode="External"/><Relationship Id="rId13" Type="http://schemas.openxmlformats.org/officeDocument/2006/relationships/hyperlink" Target="https://www.nhs.uk/conditions/bronchitis/" TargetMode="External"/><Relationship Id="rId18" Type="http://schemas.openxmlformats.org/officeDocument/2006/relationships/hyperlink" Target="https://www.nhs.uk/conditions/motor-neurone-disease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www.nhs.uk/conditions/sickle-cell-diseas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hs.uk/conditions/chronic-obstructive-pulmonary-disease-copd/" TargetMode="External"/><Relationship Id="rId17" Type="http://schemas.openxmlformats.org/officeDocument/2006/relationships/hyperlink" Target="https://www.nhs.uk/conditions/parkinsons-disease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hs.uk/conditions/hepatitis/" TargetMode="External"/><Relationship Id="rId20" Type="http://schemas.openxmlformats.org/officeDocument/2006/relationships/hyperlink" Target="https://www.nhs.uk/conditions/diabete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hs.uk/conditions/asthma/" TargetMode="External"/><Relationship Id="rId24" Type="http://schemas.openxmlformats.org/officeDocument/2006/relationships/hyperlink" Target="https://www.nhs.uk/conditions/chemotherap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hs.uk/conditions/kidney-disease/" TargetMode="External"/><Relationship Id="rId23" Type="http://schemas.openxmlformats.org/officeDocument/2006/relationships/hyperlink" Target="https://www.nhs.uk/conditions/steroids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idgeway.info@nhs.net" TargetMode="External"/><Relationship Id="rId19" Type="http://schemas.openxmlformats.org/officeDocument/2006/relationships/hyperlink" Target="https://www.nhs.uk/conditions/multiple-scleros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dsamapp.org/NHSreferral" TargetMode="External"/><Relationship Id="rId14" Type="http://schemas.openxmlformats.org/officeDocument/2006/relationships/hyperlink" Target="https://www.nhs.uk/conditions/heart-failure/" TargetMode="External"/><Relationship Id="rId22" Type="http://schemas.openxmlformats.org/officeDocument/2006/relationships/hyperlink" Target="https://www.nhs.uk/conditions/hiv-and-aid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D. Porter</dc:creator>
  <cp:lastModifiedBy>Ridgeway Surgery</cp:lastModifiedBy>
  <cp:revision>2</cp:revision>
  <cp:lastPrinted>2020-04-10T12:47:00Z</cp:lastPrinted>
  <dcterms:created xsi:type="dcterms:W3CDTF">2020-04-14T13:45:00Z</dcterms:created>
  <dcterms:modified xsi:type="dcterms:W3CDTF">2020-04-14T13:45:00Z</dcterms:modified>
</cp:coreProperties>
</file>